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7"/>
      </w:tblGrid>
      <w:tr w:rsidR="006F18B8" w:rsidRPr="006F18B8" w:rsidTr="006F18B8">
        <w:trPr>
          <w:trHeight w:val="375"/>
          <w:tblCellSpacing w:w="0" w:type="dxa"/>
        </w:trPr>
        <w:tc>
          <w:tcPr>
            <w:tcW w:w="13697" w:type="dxa"/>
            <w:hideMark/>
          </w:tcPr>
          <w:p w:rsidR="006F18B8" w:rsidRPr="006F18B8" w:rsidRDefault="006F18B8" w:rsidP="006F18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체" w:eastAsia="돋움체" w:hAnsi="돋움체" w:cs="굴림"/>
                <w:color w:val="000000"/>
                <w:kern w:val="0"/>
                <w:sz w:val="18"/>
                <w:szCs w:val="18"/>
              </w:rPr>
            </w:pPr>
            <w:r w:rsidRPr="006F18B8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수업계획서 </w:t>
            </w:r>
          </w:p>
        </w:tc>
      </w:tr>
      <w:tr w:rsidR="006F18B8" w:rsidRPr="006F18B8" w:rsidTr="006F18B8">
        <w:trPr>
          <w:tblCellSpacing w:w="0" w:type="dxa"/>
        </w:trPr>
        <w:tc>
          <w:tcPr>
            <w:tcW w:w="13697" w:type="dxa"/>
            <w:vAlign w:val="center"/>
          </w:tcPr>
          <w:p w:rsidR="006F18B8" w:rsidRPr="006F18B8" w:rsidRDefault="006F18B8" w:rsidP="006F18B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돋움체" w:eastAsia="돋움체" w:hAnsi="돋움체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F18B8" w:rsidRPr="006F18B8" w:rsidTr="006F18B8">
        <w:trPr>
          <w:trHeight w:val="300"/>
          <w:tblCellSpacing w:w="0" w:type="dxa"/>
        </w:trPr>
        <w:tc>
          <w:tcPr>
            <w:tcW w:w="13697" w:type="dxa"/>
            <w:vAlign w:val="bottom"/>
            <w:hideMark/>
          </w:tcPr>
          <w:p w:rsidR="006F18B8" w:rsidRPr="006F18B8" w:rsidRDefault="006F18B8" w:rsidP="006F18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/>
                <w:color w:val="000000"/>
                <w:kern w:val="0"/>
                <w:sz w:val="18"/>
                <w:szCs w:val="18"/>
              </w:rPr>
            </w:pPr>
            <w:r w:rsidRPr="006F18B8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18"/>
                <w:szCs w:val="18"/>
              </w:rPr>
              <w:t>◆ 2017학년도 1학기</w:t>
            </w:r>
          </w:p>
        </w:tc>
      </w:tr>
      <w:tr w:rsidR="006F18B8" w:rsidRPr="006F18B8" w:rsidTr="006F18B8">
        <w:trPr>
          <w:tblCellSpacing w:w="0" w:type="dxa"/>
        </w:trPr>
        <w:tc>
          <w:tcPr>
            <w:tcW w:w="13697" w:type="dxa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97"/>
            </w:tblGrid>
            <w:tr w:rsidR="006F18B8" w:rsidRPr="006F18B8" w:rsidTr="006F18B8">
              <w:trPr>
                <w:tblCellSpacing w:w="0" w:type="dxa"/>
              </w:trPr>
              <w:tc>
                <w:tcPr>
                  <w:tcW w:w="13697" w:type="dxa"/>
                  <w:vAlign w:val="center"/>
                  <w:hideMark/>
                </w:tcPr>
                <w:tbl>
                  <w:tblPr>
                    <w:tblW w:w="0" w:type="auto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97"/>
                  </w:tblGrid>
                  <w:tr w:rsidR="006F18B8" w:rsidRPr="006F18B8" w:rsidTr="006F18B8">
                    <w:tc>
                      <w:tcPr>
                        <w:tcW w:w="13697" w:type="dxa"/>
                        <w:vAlign w:val="center"/>
                        <w:hideMark/>
                      </w:tcPr>
                      <w:tbl>
                        <w:tblPr>
                          <w:tblW w:w="13653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29"/>
                          <w:gridCol w:w="5546"/>
                          <w:gridCol w:w="2463"/>
                          <w:gridCol w:w="4115"/>
                        </w:tblGrid>
                        <w:tr w:rsidR="006F18B8" w:rsidRPr="006F18B8" w:rsidTr="006F18B8">
                          <w:trPr>
                            <w:trHeight w:val="338"/>
                          </w:trPr>
                          <w:tc>
                            <w:tcPr>
                              <w:tcW w:w="1529" w:type="dxa"/>
                              <w:tcBorders>
                                <w:top w:val="outset" w:sz="6" w:space="0" w:color="7F7F7F"/>
                                <w:left w:val="outset" w:sz="6" w:space="0" w:color="7F7F7F"/>
                                <w:bottom w:val="outset" w:sz="6" w:space="0" w:color="7F7F7F"/>
                                <w:right w:val="outset" w:sz="6" w:space="0" w:color="7F7F7F"/>
                              </w:tcBorders>
                              <w:shd w:val="clear" w:color="auto" w:fill="E1E4E7"/>
                              <w:vAlign w:val="center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center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교과목번호</w:t>
                              </w:r>
                            </w:p>
                          </w:tc>
                          <w:tc>
                            <w:tcPr>
                              <w:tcW w:w="5546" w:type="dxa"/>
                              <w:tcBorders>
                                <w:top w:val="outset" w:sz="6" w:space="0" w:color="7F7F7F"/>
                                <w:left w:val="outset" w:sz="6" w:space="0" w:color="7F7F7F"/>
                                <w:bottom w:val="outset" w:sz="6" w:space="0" w:color="7F7F7F"/>
                                <w:right w:val="outset" w:sz="6" w:space="0" w:color="7F7F7F"/>
                              </w:tcBorders>
                              <w:shd w:val="clear" w:color="auto" w:fill="E1E4E7"/>
                              <w:vAlign w:val="center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center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교과목명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463" w:type="dxa"/>
                              <w:tcBorders>
                                <w:top w:val="outset" w:sz="6" w:space="0" w:color="7F7F7F"/>
                                <w:left w:val="outset" w:sz="6" w:space="0" w:color="7F7F7F"/>
                                <w:bottom w:val="outset" w:sz="6" w:space="0" w:color="7F7F7F"/>
                                <w:right w:val="outset" w:sz="6" w:space="0" w:color="7F7F7F"/>
                              </w:tcBorders>
                              <w:shd w:val="clear" w:color="auto" w:fill="E1E4E7"/>
                              <w:vAlign w:val="center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center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학점/시간</w:t>
                              </w:r>
                            </w:p>
                          </w:tc>
                          <w:tc>
                            <w:tcPr>
                              <w:tcW w:w="4115" w:type="dxa"/>
                              <w:tcBorders>
                                <w:top w:val="outset" w:sz="6" w:space="0" w:color="7F7F7F"/>
                                <w:left w:val="outset" w:sz="6" w:space="0" w:color="7F7F7F"/>
                                <w:bottom w:val="outset" w:sz="6" w:space="0" w:color="7F7F7F"/>
                                <w:right w:val="outset" w:sz="6" w:space="0" w:color="7F7F7F"/>
                              </w:tcBorders>
                              <w:shd w:val="clear" w:color="auto" w:fill="E1E4E7"/>
                              <w:vAlign w:val="center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center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책임교수</w:t>
                              </w:r>
                            </w:p>
                          </w:tc>
                        </w:tr>
                        <w:tr w:rsidR="006F18B8" w:rsidRPr="006F18B8" w:rsidTr="006F18B8">
                          <w:trPr>
                            <w:trHeight w:val="338"/>
                          </w:trPr>
                          <w:tc>
                            <w:tcPr>
                              <w:tcW w:w="1529" w:type="dxa"/>
                              <w:tcBorders>
                                <w:top w:val="outset" w:sz="6" w:space="0" w:color="7F7F7F"/>
                                <w:left w:val="outset" w:sz="6" w:space="0" w:color="7F7F7F"/>
                                <w:bottom w:val="outset" w:sz="6" w:space="0" w:color="7F7F7F"/>
                                <w:right w:val="outset" w:sz="6" w:space="0" w:color="7F7F7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center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113504</w:t>
                              </w:r>
                            </w:p>
                          </w:tc>
                          <w:tc>
                            <w:tcPr>
                              <w:tcW w:w="5546" w:type="dxa"/>
                              <w:tcBorders>
                                <w:top w:val="outset" w:sz="6" w:space="0" w:color="7F7F7F"/>
                                <w:left w:val="outset" w:sz="6" w:space="0" w:color="7F7F7F"/>
                                <w:bottom w:val="outset" w:sz="6" w:space="0" w:color="7F7F7F"/>
                                <w:right w:val="outset" w:sz="6" w:space="0" w:color="7F7F7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center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영어 습득 및 학습이론</w:t>
                              </w:r>
                            </w:p>
                          </w:tc>
                          <w:tc>
                            <w:tcPr>
                              <w:tcW w:w="2463" w:type="dxa"/>
                              <w:tcBorders>
                                <w:top w:val="outset" w:sz="6" w:space="0" w:color="7F7F7F"/>
                                <w:left w:val="outset" w:sz="6" w:space="0" w:color="7F7F7F"/>
                                <w:bottom w:val="outset" w:sz="6" w:space="0" w:color="7F7F7F"/>
                                <w:right w:val="outset" w:sz="6" w:space="0" w:color="7F7F7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center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3 / 3 </w:t>
                              </w:r>
                            </w:p>
                          </w:tc>
                          <w:tc>
                            <w:tcPr>
                              <w:tcW w:w="4115" w:type="dxa"/>
                              <w:tcBorders>
                                <w:top w:val="outset" w:sz="6" w:space="0" w:color="7F7F7F"/>
                                <w:left w:val="outset" w:sz="6" w:space="0" w:color="7F7F7F"/>
                                <w:bottom w:val="outset" w:sz="6" w:space="0" w:color="7F7F7F"/>
                                <w:right w:val="outset" w:sz="6" w:space="0" w:color="7F7F7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center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남현정</w:t>
                              </w:r>
                            </w:p>
                          </w:tc>
                        </w:tr>
                        <w:tr w:rsidR="006F18B8" w:rsidRPr="006F18B8" w:rsidTr="006F18B8">
                          <w:trPr>
                            <w:trHeight w:val="1077"/>
                          </w:trPr>
                          <w:tc>
                            <w:tcPr>
                              <w:tcW w:w="1529" w:type="dxa"/>
                              <w:tcBorders>
                                <w:top w:val="outset" w:sz="6" w:space="0" w:color="7F7F7F"/>
                                <w:left w:val="outset" w:sz="6" w:space="0" w:color="7F7F7F"/>
                                <w:bottom w:val="outset" w:sz="6" w:space="0" w:color="7F7F7F"/>
                                <w:right w:val="outset" w:sz="6" w:space="0" w:color="7F7F7F"/>
                              </w:tcBorders>
                              <w:shd w:val="clear" w:color="auto" w:fill="E1E4E7"/>
                              <w:vAlign w:val="center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center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교수학습목표</w:t>
                              </w:r>
                            </w:p>
                          </w:tc>
                          <w:tc>
                            <w:tcPr>
                              <w:tcW w:w="12124" w:type="dxa"/>
                              <w:gridSpan w:val="3"/>
                              <w:tcBorders>
                                <w:top w:val="outset" w:sz="6" w:space="0" w:color="7F7F7F"/>
                                <w:left w:val="outset" w:sz="6" w:space="0" w:color="7F7F7F"/>
                                <w:bottom w:val="outset" w:sz="6" w:space="0" w:color="7F7F7F"/>
                                <w:right w:val="outset" w:sz="6" w:space="0" w:color="7F7F7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This course is designed to provide students with theoretical insights in Second language acquisition. Students are equipped with up-to-date theories of language acquisition and pedagogical issues. </w:t>
                              </w:r>
                            </w:p>
                          </w:tc>
                        </w:tr>
                        <w:tr w:rsidR="006F18B8" w:rsidRPr="006F18B8" w:rsidTr="006F18B8">
                          <w:trPr>
                            <w:trHeight w:val="1077"/>
                          </w:trPr>
                          <w:tc>
                            <w:tcPr>
                              <w:tcW w:w="1529" w:type="dxa"/>
                              <w:tcBorders>
                                <w:top w:val="outset" w:sz="6" w:space="0" w:color="7F7F7F"/>
                                <w:left w:val="outset" w:sz="6" w:space="0" w:color="7F7F7F"/>
                                <w:bottom w:val="outset" w:sz="6" w:space="0" w:color="7F7F7F"/>
                                <w:right w:val="outset" w:sz="6" w:space="0" w:color="7F7F7F"/>
                              </w:tcBorders>
                              <w:shd w:val="clear" w:color="auto" w:fill="E1E4E7"/>
                              <w:vAlign w:val="center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center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교재 및 참고문헌</w:t>
                              </w:r>
                            </w:p>
                          </w:tc>
                          <w:tc>
                            <w:tcPr>
                              <w:tcW w:w="12124" w:type="dxa"/>
                              <w:gridSpan w:val="3"/>
                              <w:tcBorders>
                                <w:top w:val="outset" w:sz="6" w:space="0" w:color="7F7F7F"/>
                                <w:left w:val="outset" w:sz="6" w:space="0" w:color="7F7F7F"/>
                                <w:bottom w:val="outset" w:sz="6" w:space="0" w:color="7F7F7F"/>
                                <w:right w:val="outset" w:sz="6" w:space="0" w:color="7F7F7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Ellis R. (1997). Second language acquisition. Oxford: Oxford University Press.</w:t>
                              </w:r>
                            </w:p>
                          </w:tc>
                        </w:tr>
                      </w:tbl>
                      <w:p w:rsidR="006F18B8" w:rsidRPr="006F18B8" w:rsidRDefault="006F18B8" w:rsidP="006F18B8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돋움체" w:eastAsia="돋움체" w:hAnsi="돋움체" w:cs="굴림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6F18B8" w:rsidRPr="006F18B8" w:rsidRDefault="006F18B8" w:rsidP="006F18B8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체" w:eastAsia="돋움체" w:hAnsi="돋움체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F18B8" w:rsidRPr="006F18B8" w:rsidTr="006F18B8">
              <w:trPr>
                <w:trHeight w:val="150"/>
                <w:tblCellSpacing w:w="0" w:type="dxa"/>
              </w:trPr>
              <w:tc>
                <w:tcPr>
                  <w:tcW w:w="13697" w:type="dxa"/>
                  <w:vAlign w:val="center"/>
                  <w:hideMark/>
                </w:tcPr>
                <w:p w:rsidR="006F18B8" w:rsidRPr="006F18B8" w:rsidRDefault="006F18B8" w:rsidP="006F18B8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체" w:eastAsia="돋움체" w:hAnsi="돋움체" w:cs="굴림"/>
                      <w:color w:val="000000"/>
                      <w:kern w:val="0"/>
                      <w:sz w:val="16"/>
                      <w:szCs w:val="18"/>
                    </w:rPr>
                  </w:pPr>
                </w:p>
              </w:tc>
            </w:tr>
            <w:tr w:rsidR="006F18B8" w:rsidRPr="006F18B8" w:rsidTr="006F18B8">
              <w:trPr>
                <w:tblCellSpacing w:w="0" w:type="dxa"/>
              </w:trPr>
              <w:tc>
                <w:tcPr>
                  <w:tcW w:w="13697" w:type="dxa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97"/>
                  </w:tblGrid>
                  <w:tr w:rsidR="006F18B8" w:rsidRPr="006F18B8" w:rsidTr="006F18B8">
                    <w:trPr>
                      <w:trHeight w:val="375"/>
                      <w:tblCellSpacing w:w="0" w:type="dxa"/>
                    </w:trPr>
                    <w:tc>
                      <w:tcPr>
                        <w:tcW w:w="13697" w:type="dxa"/>
                        <w:vAlign w:val="bottom"/>
                        <w:hideMark/>
                      </w:tcPr>
                      <w:p w:rsidR="006F18B8" w:rsidRPr="006F18B8" w:rsidRDefault="006F18B8" w:rsidP="006F18B8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돋움체" w:eastAsia="돋움체" w:hAnsi="돋움체" w:cs="굴림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6F18B8">
                          <w:rPr>
                            <w:rFonts w:ascii="돋움체" w:eastAsia="돋움체" w:hAnsi="돋움체" w:cs="굴림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◆ 강의내용</w:t>
                        </w:r>
                        <w:bookmarkStart w:id="0" w:name="_GoBack"/>
                        <w:bookmarkEnd w:id="0"/>
                      </w:p>
                    </w:tc>
                  </w:tr>
                  <w:tr w:rsidR="006F18B8" w:rsidRPr="006F18B8" w:rsidTr="006F18B8">
                    <w:trPr>
                      <w:tblCellSpacing w:w="0" w:type="dxa"/>
                    </w:trPr>
                    <w:tc>
                      <w:tcPr>
                        <w:tcW w:w="13697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Layout w:type="fixed"/>
                          <w:tblCellMar>
                            <w:left w:w="113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8"/>
                          <w:gridCol w:w="2409"/>
                          <w:gridCol w:w="6379"/>
                          <w:gridCol w:w="3260"/>
                          <w:gridCol w:w="1215"/>
                        </w:tblGrid>
                        <w:tr w:rsidR="006F18B8" w:rsidRPr="006F18B8" w:rsidTr="005D0B2C">
                          <w:trPr>
                            <w:trHeight w:val="330"/>
                          </w:trPr>
                          <w:tc>
                            <w:tcPr>
                              <w:tcW w:w="418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E1E4E7"/>
                              <w:vAlign w:val="center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center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주별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E1E4E7"/>
                              <w:vAlign w:val="center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center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주제</w:t>
                              </w:r>
                            </w:p>
                          </w:tc>
                          <w:tc>
                            <w:tcPr>
                              <w:tcW w:w="6379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E1E4E7"/>
                              <w:vAlign w:val="center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center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강의내용</w:t>
                              </w:r>
                            </w:p>
                          </w:tc>
                          <w:tc>
                            <w:tcPr>
                              <w:tcW w:w="326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E1E4E7"/>
                              <w:vAlign w:val="center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center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수업방법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E1E4E7"/>
                              <w:vAlign w:val="center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center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과제물</w:t>
                              </w:r>
                            </w:p>
                          </w:tc>
                        </w:tr>
                        <w:tr w:rsidR="006F18B8" w:rsidRPr="006F18B8" w:rsidTr="005D0B2C">
                          <w:trPr>
                            <w:trHeight w:val="330"/>
                          </w:trPr>
                          <w:tc>
                            <w:tcPr>
                              <w:tcW w:w="418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center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Introductions to the course, to the materials, instructor, assignments.</w:t>
                              </w:r>
                            </w:p>
                          </w:tc>
                          <w:tc>
                            <w:tcPr>
                              <w:tcW w:w="6379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Introductions to SLA</w:t>
                              </w:r>
                            </w:p>
                          </w:tc>
                          <w:tc>
                            <w:tcPr>
                              <w:tcW w:w="326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irect lecturing will be kept to </w:t>
                              </w: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a minimum while group discussions </w:t>
                              </w:r>
                            </w:p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will</w:t>
                              </w:r>
                              <w:proofErr w:type="gramEnd"/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 be stressed.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Read unit 1</w:t>
                              </w:r>
                            </w:p>
                          </w:tc>
                        </w:tr>
                        <w:tr w:rsidR="006F18B8" w:rsidRPr="006F18B8" w:rsidTr="005D0B2C">
                          <w:trPr>
                            <w:trHeight w:val="330"/>
                          </w:trPr>
                          <w:tc>
                            <w:tcPr>
                              <w:tcW w:w="418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center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Unit 1 Introduction: describing and explaining L2 acquisition</w:t>
                              </w:r>
                            </w:p>
                          </w:tc>
                          <w:tc>
                            <w:tcPr>
                              <w:tcW w:w="6379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240" w:line="240" w:lineRule="auto"/>
                                <w:jc w:val="left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What is second language acquisition? </w:t>
                              </w: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What are the goals of SLA? </w:t>
                              </w: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Methodological issues </w:t>
                              </w:r>
                            </w:p>
                          </w:tc>
                          <w:tc>
                            <w:tcPr>
                              <w:tcW w:w="326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irect lecturing will be kept to </w:t>
                              </w: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a minimum while group discussions </w:t>
                              </w:r>
                            </w:p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will</w:t>
                              </w:r>
                              <w:proofErr w:type="gramEnd"/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 be stressed.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Read unit 2</w:t>
                              </w:r>
                            </w:p>
                          </w:tc>
                        </w:tr>
                        <w:tr w:rsidR="006F18B8" w:rsidRPr="006F18B8" w:rsidTr="005D0B2C">
                          <w:trPr>
                            <w:trHeight w:val="330"/>
                          </w:trPr>
                          <w:tc>
                            <w:tcPr>
                              <w:tcW w:w="418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center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Unit 2 The nature of learner language </w:t>
                              </w:r>
                            </w:p>
                          </w:tc>
                          <w:tc>
                            <w:tcPr>
                              <w:tcW w:w="6379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Errors and Error analysis  </w:t>
                              </w: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Developmental patterns  </w:t>
                              </w: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Variability in learner language  </w:t>
                              </w:r>
                            </w:p>
                          </w:tc>
                          <w:tc>
                            <w:tcPr>
                              <w:tcW w:w="326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irect lecturing will be kept to </w:t>
                              </w: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a minimum while group discussions </w:t>
                              </w:r>
                            </w:p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will</w:t>
                              </w:r>
                              <w:proofErr w:type="gramEnd"/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 be stressed.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Read Unit 3</w:t>
                              </w:r>
                            </w:p>
                          </w:tc>
                        </w:tr>
                        <w:tr w:rsidR="006F18B8" w:rsidRPr="006F18B8" w:rsidTr="005D0B2C">
                          <w:trPr>
                            <w:trHeight w:val="330"/>
                          </w:trPr>
                          <w:tc>
                            <w:tcPr>
                              <w:tcW w:w="418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center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Unit 3 Interlanguage </w:t>
                              </w:r>
                            </w:p>
                          </w:tc>
                          <w:tc>
                            <w:tcPr>
                              <w:tcW w:w="6379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Behaviorist learning theory </w:t>
                              </w: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A mentalist theory of language learning </w:t>
                              </w: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What is interlanguage?  </w:t>
                              </w: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A computational model of L2 acquisition  </w:t>
                              </w:r>
                            </w:p>
                          </w:tc>
                          <w:tc>
                            <w:tcPr>
                              <w:tcW w:w="326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irect lecturing will be kept to </w:t>
                              </w: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a minimum while group discussions </w:t>
                              </w:r>
                            </w:p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will</w:t>
                              </w:r>
                              <w:proofErr w:type="gramEnd"/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 be stressed.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Read unit 4</w:t>
                              </w:r>
                            </w:p>
                          </w:tc>
                        </w:tr>
                        <w:tr w:rsidR="006F18B8" w:rsidRPr="006F18B8" w:rsidTr="005D0B2C">
                          <w:trPr>
                            <w:trHeight w:val="330"/>
                          </w:trPr>
                          <w:tc>
                            <w:tcPr>
                              <w:tcW w:w="418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center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Unit 4 Social aspects of interlanguage </w:t>
                              </w:r>
                            </w:p>
                          </w:tc>
                          <w:tc>
                            <w:tcPr>
                              <w:tcW w:w="6379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Interlanguage as a stylistic continuum  </w:t>
                              </w: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The acculturation model of L2 acquisition </w:t>
                              </w: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Social identity and investment in L2 learning </w:t>
                              </w:r>
                            </w:p>
                          </w:tc>
                          <w:tc>
                            <w:tcPr>
                              <w:tcW w:w="326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irect lecturing will be kept to </w:t>
                              </w: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a minimum while group discussions </w:t>
                              </w:r>
                            </w:p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will</w:t>
                              </w:r>
                              <w:proofErr w:type="gramEnd"/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 be stressed.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Read unit 5 </w:t>
                              </w:r>
                            </w:p>
                          </w:tc>
                        </w:tr>
                        <w:tr w:rsidR="006F18B8" w:rsidRPr="006F18B8" w:rsidTr="005D0B2C">
                          <w:trPr>
                            <w:trHeight w:val="330"/>
                          </w:trPr>
                          <w:tc>
                            <w:tcPr>
                              <w:tcW w:w="418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center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6</w:t>
                              </w: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Unit 5 Discourse aspects of interlanguage </w:t>
                              </w:r>
                            </w:p>
                          </w:tc>
                          <w:tc>
                            <w:tcPr>
                              <w:tcW w:w="6379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Acquiring discourse rules </w:t>
                              </w: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The role of input and interaction in L2 acquisition </w:t>
                              </w: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The role of output in L2 acquisition </w:t>
                              </w:r>
                            </w:p>
                          </w:tc>
                          <w:tc>
                            <w:tcPr>
                              <w:tcW w:w="326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irect lecturing will be kept to </w:t>
                              </w: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a minimum while group discussions </w:t>
                              </w:r>
                            </w:p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will</w:t>
                              </w:r>
                              <w:proofErr w:type="gramEnd"/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 be stressed.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Prepare for your mid-term</w:t>
                              </w:r>
                            </w:p>
                          </w:tc>
                        </w:tr>
                        <w:tr w:rsidR="006F18B8" w:rsidRPr="006F18B8" w:rsidTr="005D0B2C">
                          <w:trPr>
                            <w:trHeight w:val="330"/>
                          </w:trPr>
                          <w:tc>
                            <w:tcPr>
                              <w:tcW w:w="418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center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Mid-term</w:t>
                              </w:r>
                            </w:p>
                          </w:tc>
                          <w:tc>
                            <w:tcPr>
                              <w:tcW w:w="6379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Mid-term</w:t>
                              </w:r>
                            </w:p>
                          </w:tc>
                          <w:tc>
                            <w:tcPr>
                              <w:tcW w:w="326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There will be different options </w:t>
                              </w:r>
                            </w:p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which</w:t>
                              </w:r>
                              <w:proofErr w:type="gramEnd"/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 students can choose from.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Read unit 6</w:t>
                              </w:r>
                            </w:p>
                          </w:tc>
                        </w:tr>
                        <w:tr w:rsidR="006F18B8" w:rsidRPr="006F18B8" w:rsidTr="005D0B2C">
                          <w:trPr>
                            <w:trHeight w:val="330"/>
                          </w:trPr>
                          <w:tc>
                            <w:tcPr>
                              <w:tcW w:w="418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center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Unit 6 Psycholinguistic aspects of interlanguage L1 transfer </w:t>
                              </w:r>
                            </w:p>
                          </w:tc>
                          <w:tc>
                            <w:tcPr>
                              <w:tcW w:w="6379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L1 transfer  </w:t>
                              </w: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The role of consciousness in L2 acquisition </w:t>
                              </w: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Processing operations  </w:t>
                              </w: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Communication strategies  </w:t>
                              </w:r>
                            </w:p>
                          </w:tc>
                          <w:tc>
                            <w:tcPr>
                              <w:tcW w:w="326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irect lecturing will be kept to </w:t>
                              </w: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a minimum while group discussions </w:t>
                              </w:r>
                            </w:p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will</w:t>
                              </w:r>
                              <w:proofErr w:type="gramEnd"/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 be stressed.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Read unit 7 </w:t>
                              </w:r>
                            </w:p>
                          </w:tc>
                        </w:tr>
                        <w:tr w:rsidR="006F18B8" w:rsidRPr="006F18B8" w:rsidTr="005D0B2C">
                          <w:trPr>
                            <w:trHeight w:val="330"/>
                          </w:trPr>
                          <w:tc>
                            <w:tcPr>
                              <w:tcW w:w="418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center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Unit 7 Linguistic aspects of interlanguage Typological universals </w:t>
                              </w:r>
                            </w:p>
                          </w:tc>
                          <w:tc>
                            <w:tcPr>
                              <w:tcW w:w="6379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UG  </w:t>
                              </w: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Learnability  </w:t>
                              </w: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Critical period hypothesis  </w:t>
                              </w: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Markedness</w:t>
                              </w:r>
                              <w:proofErr w:type="spellEnd"/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326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irect lecturing will be kept to </w:t>
                              </w: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a minimum while group discussions </w:t>
                              </w:r>
                            </w:p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will</w:t>
                              </w:r>
                              <w:proofErr w:type="gramEnd"/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 be stressed.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Read unit 8 </w:t>
                              </w:r>
                            </w:p>
                          </w:tc>
                        </w:tr>
                        <w:tr w:rsidR="006F18B8" w:rsidRPr="006F18B8" w:rsidTr="005D0B2C">
                          <w:trPr>
                            <w:trHeight w:val="330"/>
                          </w:trPr>
                          <w:tc>
                            <w:tcPr>
                              <w:tcW w:w="418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center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Unit 8 Individual differences in L2 acquisition Language aptitude </w:t>
                              </w:r>
                            </w:p>
                          </w:tc>
                          <w:tc>
                            <w:tcPr>
                              <w:tcW w:w="6379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Language aptitude  </w:t>
                              </w: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Motivation  </w:t>
                              </w: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Learning strategies  </w:t>
                              </w:r>
                            </w:p>
                          </w:tc>
                          <w:tc>
                            <w:tcPr>
                              <w:tcW w:w="326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irect lecturing will be kept to </w:t>
                              </w: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a minimum while group discussions </w:t>
                              </w:r>
                            </w:p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will</w:t>
                              </w:r>
                              <w:proofErr w:type="gramEnd"/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 be stressed.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Read unit 9 </w:t>
                              </w:r>
                            </w:p>
                          </w:tc>
                        </w:tr>
                        <w:tr w:rsidR="006F18B8" w:rsidRPr="006F18B8" w:rsidTr="005D0B2C">
                          <w:trPr>
                            <w:trHeight w:val="330"/>
                          </w:trPr>
                          <w:tc>
                            <w:tcPr>
                              <w:tcW w:w="418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center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Unit 9 Instruction and L2 acquisition </w:t>
                              </w:r>
                            </w:p>
                          </w:tc>
                          <w:tc>
                            <w:tcPr>
                              <w:tcW w:w="6379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Form-focused instruction  </w:t>
                              </w: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Learner-instruction matching  </w:t>
                              </w: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Strategy training  </w:t>
                              </w:r>
                            </w:p>
                          </w:tc>
                          <w:tc>
                            <w:tcPr>
                              <w:tcW w:w="326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irect lecturing will be kept to </w:t>
                              </w: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a minimum while group discussions </w:t>
                              </w:r>
                            </w:p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will</w:t>
                              </w:r>
                              <w:proofErr w:type="gramEnd"/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 be stressed.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Read </w:t>
                              </w:r>
                            </w:p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Supplementary</w:t>
                              </w: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materials</w:t>
                              </w:r>
                              <w:proofErr w:type="spellEnd"/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6F18B8" w:rsidRPr="006F18B8" w:rsidTr="005D0B2C">
                          <w:trPr>
                            <w:trHeight w:val="330"/>
                          </w:trPr>
                          <w:tc>
                            <w:tcPr>
                              <w:tcW w:w="418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center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Cognitive accounts of second language acquisition</w:t>
                              </w:r>
                            </w:p>
                          </w:tc>
                          <w:tc>
                            <w:tcPr>
                              <w:tcW w:w="6379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The representation of L2 knowledge  </w:t>
                              </w: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Implicit and explicit L2 knowledge  </w:t>
                              </w: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Declarative and procedural L2 knowledge  </w:t>
                              </w:r>
                            </w:p>
                          </w:tc>
                          <w:tc>
                            <w:tcPr>
                              <w:tcW w:w="326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irect lecturing will be kept to </w:t>
                              </w: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a minimum while group discussions </w:t>
                              </w:r>
                            </w:p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will</w:t>
                              </w:r>
                              <w:proofErr w:type="gramEnd"/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 be stressed.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Read </w:t>
                              </w:r>
                            </w:p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Supplementary</w:t>
                              </w: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materials</w:t>
                              </w:r>
                              <w:proofErr w:type="spellEnd"/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F18B8" w:rsidRPr="006F18B8" w:rsidTr="005D0B2C">
                          <w:trPr>
                            <w:trHeight w:val="330"/>
                          </w:trPr>
                          <w:tc>
                            <w:tcPr>
                              <w:tcW w:w="418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center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Cognitive accounts of second language production</w:t>
                              </w:r>
                            </w:p>
                          </w:tc>
                          <w:tc>
                            <w:tcPr>
                              <w:tcW w:w="6379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Competition model  </w:t>
                              </w: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Second language speech planning  </w:t>
                              </w: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Communication strategies  </w:t>
                              </w:r>
                            </w:p>
                          </w:tc>
                          <w:tc>
                            <w:tcPr>
                              <w:tcW w:w="326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Group discussions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Read </w:t>
                              </w:r>
                            </w:p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Supplementary</w:t>
                              </w: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materials</w:t>
                              </w:r>
                              <w:proofErr w:type="spellEnd"/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F18B8" w:rsidRPr="006F18B8" w:rsidTr="005D0B2C">
                          <w:trPr>
                            <w:trHeight w:val="330"/>
                          </w:trPr>
                          <w:tc>
                            <w:tcPr>
                              <w:tcW w:w="418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center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Supplementary materials : various topics </w:t>
                              </w:r>
                            </w:p>
                          </w:tc>
                          <w:tc>
                            <w:tcPr>
                              <w:tcW w:w="6379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Current issues on SAL will be discussed</w:t>
                              </w:r>
                            </w:p>
                          </w:tc>
                          <w:tc>
                            <w:tcPr>
                              <w:tcW w:w="326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Group discussions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Prepare for </w:t>
                              </w:r>
                            </w:p>
                            <w:p w:rsid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your final </w:t>
                              </w:r>
                            </w:p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exam</w:t>
                              </w:r>
                              <w:r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F18B8" w:rsidRPr="006F18B8" w:rsidTr="005D0B2C">
                          <w:trPr>
                            <w:trHeight w:val="330"/>
                          </w:trPr>
                          <w:tc>
                            <w:tcPr>
                              <w:tcW w:w="418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center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Final exam</w:t>
                              </w:r>
                            </w:p>
                          </w:tc>
                          <w:tc>
                            <w:tcPr>
                              <w:tcW w:w="6379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Final exam</w:t>
                              </w:r>
                            </w:p>
                          </w:tc>
                          <w:tc>
                            <w:tcPr>
                              <w:tcW w:w="326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There will be different options </w:t>
                              </w:r>
                            </w:p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which</w:t>
                              </w:r>
                              <w:proofErr w:type="gramEnd"/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 students can choose from.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F18B8" w:rsidRPr="006F18B8" w:rsidRDefault="006F18B8" w:rsidP="006F18B8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="돋움체" w:eastAsia="돋움체" w:hAnsi="돋움체" w:cs="굴림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F18B8">
                                <w:rPr>
                                  <w:rFonts w:ascii="돋움체" w:eastAsia="돋움체" w:hAnsi="돋움체" w:cs="굴림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F18B8" w:rsidRPr="006F18B8" w:rsidRDefault="006F18B8" w:rsidP="006F18B8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돋움체" w:eastAsia="돋움체" w:hAnsi="돋움체" w:cs="굴림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6F18B8" w:rsidRPr="006F18B8" w:rsidRDefault="006F18B8" w:rsidP="006F18B8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체" w:eastAsia="돋움체" w:hAnsi="돋움체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F18B8" w:rsidRPr="006F18B8" w:rsidTr="006F18B8">
              <w:trPr>
                <w:trHeight w:val="150"/>
                <w:tblCellSpacing w:w="0" w:type="dxa"/>
              </w:trPr>
              <w:tc>
                <w:tcPr>
                  <w:tcW w:w="13697" w:type="dxa"/>
                  <w:vAlign w:val="center"/>
                  <w:hideMark/>
                </w:tcPr>
                <w:p w:rsidR="006F18B8" w:rsidRPr="006F18B8" w:rsidRDefault="006F18B8" w:rsidP="006F18B8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체" w:eastAsia="돋움체" w:hAnsi="돋움체" w:cs="굴림"/>
                      <w:color w:val="000000"/>
                      <w:kern w:val="0"/>
                      <w:sz w:val="16"/>
                      <w:szCs w:val="18"/>
                    </w:rPr>
                  </w:pPr>
                </w:p>
              </w:tc>
            </w:tr>
            <w:tr w:rsidR="006F18B8" w:rsidRPr="006F18B8" w:rsidTr="006F18B8">
              <w:trPr>
                <w:tblCellSpacing w:w="0" w:type="dxa"/>
              </w:trPr>
              <w:tc>
                <w:tcPr>
                  <w:tcW w:w="13697" w:type="dxa"/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14"/>
                    <w:gridCol w:w="11675"/>
                  </w:tblGrid>
                  <w:tr w:rsidR="006F18B8" w:rsidRPr="006F18B8" w:rsidTr="006F18B8">
                    <w:trPr>
                      <w:trHeight w:val="760"/>
                    </w:trPr>
                    <w:tc>
                      <w:tcPr>
                        <w:tcW w:w="1914" w:type="dxa"/>
                        <w:tcBorders>
                          <w:top w:val="outset" w:sz="6" w:space="0" w:color="7F7F7F"/>
                          <w:left w:val="outset" w:sz="6" w:space="0" w:color="7F7F7F"/>
                          <w:bottom w:val="outset" w:sz="6" w:space="0" w:color="7F7F7F"/>
                          <w:right w:val="outset" w:sz="6" w:space="0" w:color="7F7F7F"/>
                        </w:tcBorders>
                        <w:shd w:val="clear" w:color="auto" w:fill="E1E4E7"/>
                        <w:vAlign w:val="center"/>
                        <w:hideMark/>
                      </w:tcPr>
                      <w:p w:rsidR="006F18B8" w:rsidRPr="006F18B8" w:rsidRDefault="006F18B8" w:rsidP="006F18B8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돋움체" w:eastAsia="돋움체" w:hAnsi="돋움체" w:cs="굴림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6F18B8">
                          <w:rPr>
                            <w:rFonts w:ascii="돋움체" w:eastAsia="돋움체" w:hAnsi="돋움체" w:cs="굴림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성적평가방법</w:t>
                        </w:r>
                      </w:p>
                    </w:tc>
                    <w:tc>
                      <w:tcPr>
                        <w:tcW w:w="11675" w:type="dxa"/>
                        <w:tcBorders>
                          <w:top w:val="outset" w:sz="6" w:space="0" w:color="7F7F7F"/>
                          <w:left w:val="outset" w:sz="6" w:space="0" w:color="7F7F7F"/>
                          <w:bottom w:val="outset" w:sz="6" w:space="0" w:color="7F7F7F"/>
                          <w:right w:val="outset" w:sz="6" w:space="0" w:color="7F7F7F"/>
                        </w:tcBorders>
                        <w:shd w:val="clear" w:color="auto" w:fill="FFFFFF"/>
                        <w:hideMark/>
                      </w:tcPr>
                      <w:p w:rsidR="006F18B8" w:rsidRPr="006F18B8" w:rsidRDefault="006F18B8" w:rsidP="006F18B8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돋움체" w:eastAsia="돋움체" w:hAnsi="돋움체" w:cs="굴림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6F18B8">
                          <w:rPr>
                            <w:rFonts w:ascii="돋움체" w:eastAsia="돋움체" w:hAnsi="돋움체" w:cs="굴림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Final grades will be based on performance in the following categories. </w:t>
                        </w:r>
                        <w:r w:rsidRPr="006F18B8">
                          <w:rPr>
                            <w:rFonts w:ascii="돋움체" w:eastAsia="돋움체" w:hAnsi="돋움체" w:cs="굴림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 xml:space="preserve">Attendance  15% </w:t>
                        </w:r>
                        <w:r w:rsidRPr="006F18B8">
                          <w:rPr>
                            <w:rFonts w:ascii="돋움체" w:eastAsia="돋움체" w:hAnsi="돋움체" w:cs="굴림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 xml:space="preserve">Participation 15% </w:t>
                        </w:r>
                        <w:r w:rsidRPr="006F18B8">
                          <w:rPr>
                            <w:rFonts w:ascii="돋움체" w:eastAsia="돋움체" w:hAnsi="돋움체" w:cs="굴림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 xml:space="preserve">Assignments     10% </w:t>
                        </w:r>
                        <w:r w:rsidRPr="006F18B8">
                          <w:rPr>
                            <w:rFonts w:ascii="돋움체" w:eastAsia="돋움체" w:hAnsi="돋움체" w:cs="굴림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 xml:space="preserve">Midterm         30% </w:t>
                        </w:r>
                        <w:r w:rsidRPr="006F18B8">
                          <w:rPr>
                            <w:rFonts w:ascii="돋움체" w:eastAsia="돋움체" w:hAnsi="돋움체" w:cs="굴림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6F18B8">
                          <w:rPr>
                            <w:rFonts w:ascii="돋움체" w:eastAsia="돋움체" w:hAnsi="돋움체" w:cs="굴림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lastRenderedPageBreak/>
                          <w:t xml:space="preserve">Final exam      30% </w:t>
                        </w:r>
                        <w:r w:rsidRPr="006F18B8">
                          <w:rPr>
                            <w:rFonts w:ascii="돋움체" w:eastAsia="돋움체" w:hAnsi="돋움체" w:cs="굴림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</w:p>
                    </w:tc>
                  </w:tr>
                </w:tbl>
                <w:p w:rsidR="006F18B8" w:rsidRPr="006F18B8" w:rsidRDefault="006F18B8" w:rsidP="006F18B8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체" w:eastAsia="돋움체" w:hAnsi="돋움체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F18B8" w:rsidRPr="006F18B8" w:rsidTr="006F18B8">
              <w:trPr>
                <w:trHeight w:val="150"/>
                <w:tblCellSpacing w:w="0" w:type="dxa"/>
              </w:trPr>
              <w:tc>
                <w:tcPr>
                  <w:tcW w:w="13697" w:type="dxa"/>
                  <w:vAlign w:val="center"/>
                  <w:hideMark/>
                </w:tcPr>
                <w:p w:rsidR="006F18B8" w:rsidRPr="006F18B8" w:rsidRDefault="006F18B8" w:rsidP="006F18B8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체" w:eastAsia="돋움체" w:hAnsi="돋움체" w:cs="굴림"/>
                      <w:color w:val="000000"/>
                      <w:kern w:val="0"/>
                      <w:sz w:val="16"/>
                      <w:szCs w:val="18"/>
                    </w:rPr>
                  </w:pPr>
                </w:p>
              </w:tc>
            </w:tr>
            <w:tr w:rsidR="006F18B8" w:rsidRPr="006F18B8" w:rsidTr="006F18B8">
              <w:trPr>
                <w:tblCellSpacing w:w="0" w:type="dxa"/>
              </w:trPr>
              <w:tc>
                <w:tcPr>
                  <w:tcW w:w="13697" w:type="dxa"/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18"/>
                    <w:gridCol w:w="11701"/>
                  </w:tblGrid>
                  <w:tr w:rsidR="006F18B8" w:rsidRPr="006F18B8" w:rsidTr="006F18B8">
                    <w:trPr>
                      <w:trHeight w:val="689"/>
                    </w:trPr>
                    <w:tc>
                      <w:tcPr>
                        <w:tcW w:w="1918" w:type="dxa"/>
                        <w:tcBorders>
                          <w:top w:val="outset" w:sz="6" w:space="0" w:color="7F7F7F"/>
                          <w:left w:val="outset" w:sz="6" w:space="0" w:color="7F7F7F"/>
                          <w:bottom w:val="outset" w:sz="6" w:space="0" w:color="7F7F7F"/>
                          <w:right w:val="outset" w:sz="6" w:space="0" w:color="7F7F7F"/>
                        </w:tcBorders>
                        <w:shd w:val="clear" w:color="auto" w:fill="E1E4E7"/>
                        <w:vAlign w:val="center"/>
                        <w:hideMark/>
                      </w:tcPr>
                      <w:p w:rsidR="006F18B8" w:rsidRPr="006F18B8" w:rsidRDefault="006F18B8" w:rsidP="006F18B8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돋움체" w:eastAsia="돋움체" w:hAnsi="돋움체" w:cs="굴림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6F18B8">
                          <w:rPr>
                            <w:rFonts w:ascii="돋움체" w:eastAsia="돋움체" w:hAnsi="돋움체" w:cs="굴림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기타</w:t>
                        </w:r>
                      </w:p>
                    </w:tc>
                    <w:tc>
                      <w:tcPr>
                        <w:tcW w:w="11701" w:type="dxa"/>
                        <w:tcBorders>
                          <w:top w:val="outset" w:sz="6" w:space="0" w:color="7F7F7F"/>
                          <w:left w:val="outset" w:sz="6" w:space="0" w:color="7F7F7F"/>
                          <w:bottom w:val="outset" w:sz="6" w:space="0" w:color="7F7F7F"/>
                          <w:right w:val="outset" w:sz="6" w:space="0" w:color="7F7F7F"/>
                        </w:tcBorders>
                        <w:shd w:val="clear" w:color="auto" w:fill="FFFFFF"/>
                        <w:hideMark/>
                      </w:tcPr>
                      <w:p w:rsidR="006F18B8" w:rsidRPr="006F18B8" w:rsidRDefault="006F18B8" w:rsidP="006F18B8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돋움체" w:eastAsia="돋움체" w:hAnsi="돋움체" w:cs="굴림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6F18B8">
                          <w:rPr>
                            <w:rFonts w:ascii="돋움체" w:eastAsia="돋움체" w:hAnsi="돋움체" w:cs="굴림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The penalty for plagiarism and cheating is automatic failure</w:t>
                        </w:r>
                      </w:p>
                    </w:tc>
                  </w:tr>
                </w:tbl>
                <w:p w:rsidR="006F18B8" w:rsidRPr="006F18B8" w:rsidRDefault="006F18B8" w:rsidP="006F18B8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체" w:eastAsia="돋움체" w:hAnsi="돋움체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F18B8" w:rsidRPr="006F18B8" w:rsidTr="006F18B8">
              <w:trPr>
                <w:trHeight w:val="150"/>
                <w:tblCellSpacing w:w="0" w:type="dxa"/>
              </w:trPr>
              <w:tc>
                <w:tcPr>
                  <w:tcW w:w="13697" w:type="dxa"/>
                  <w:vAlign w:val="center"/>
                </w:tcPr>
                <w:p w:rsidR="006F18B8" w:rsidRPr="006F18B8" w:rsidRDefault="006F18B8" w:rsidP="006F18B8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체" w:eastAsia="돋움체" w:hAnsi="돋움체" w:cs="굴림"/>
                      <w:color w:val="000000"/>
                      <w:kern w:val="0"/>
                      <w:sz w:val="16"/>
                      <w:szCs w:val="18"/>
                    </w:rPr>
                  </w:pPr>
                </w:p>
              </w:tc>
            </w:tr>
            <w:tr w:rsidR="006F18B8" w:rsidRPr="006F18B8" w:rsidTr="006F18B8">
              <w:trPr>
                <w:tblCellSpacing w:w="0" w:type="dxa"/>
              </w:trPr>
              <w:tc>
                <w:tcPr>
                  <w:tcW w:w="13697" w:type="dxa"/>
                  <w:vAlign w:val="center"/>
                </w:tcPr>
                <w:p w:rsidR="006F18B8" w:rsidRPr="006F18B8" w:rsidRDefault="006F18B8" w:rsidP="006F18B8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체" w:eastAsia="돋움체" w:hAnsi="돋움체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6F18B8" w:rsidRPr="006F18B8" w:rsidRDefault="006F18B8" w:rsidP="006F18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EE0B2B" w:rsidRDefault="00EE0B2B"/>
    <w:sectPr w:rsidR="00EE0B2B" w:rsidSect="006F18B8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B8"/>
    <w:rsid w:val="005D0B2C"/>
    <w:rsid w:val="006F18B8"/>
    <w:rsid w:val="00EE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2017-03-01T06:08:00Z</dcterms:created>
  <dcterms:modified xsi:type="dcterms:W3CDTF">2017-03-01T06:20:00Z</dcterms:modified>
</cp:coreProperties>
</file>